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0" w:rsidRPr="00921B8F" w:rsidRDefault="00830870" w:rsidP="00830870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АДМИНИСТРАЦИЯ </w:t>
      </w:r>
    </w:p>
    <w:p w:rsidR="00830870" w:rsidRPr="00921B8F" w:rsidRDefault="00086FD0" w:rsidP="00830870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КРУГЛЯНСКОГО</w:t>
      </w:r>
      <w:r w:rsidR="00830870" w:rsidRPr="00921B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СЕЛЬСКОГО ПОСЕЛЕНИЯ</w:t>
      </w:r>
    </w:p>
    <w:p w:rsidR="00830870" w:rsidRPr="00921B8F" w:rsidRDefault="00830870" w:rsidP="00830870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830870" w:rsidRPr="00921B8F" w:rsidRDefault="00830870" w:rsidP="00830870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D31F42" w:rsidRDefault="00D31F42" w:rsidP="00830870">
      <w:pPr>
        <w:shd w:val="clear" w:color="auto" w:fill="FFFFFF"/>
        <w:ind w:left="3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30870" w:rsidRPr="00921B8F" w:rsidRDefault="00830870" w:rsidP="00830870">
      <w:pPr>
        <w:shd w:val="clear" w:color="auto" w:fill="FFFFFF"/>
        <w:ind w:left="336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70" w:rsidRPr="00D31F42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  <w:r w:rsidRPr="00D31F42">
        <w:rPr>
          <w:rFonts w:ascii="Times New Roman" w:hAnsi="Times New Roman" w:cs="Times New Roman"/>
          <w:sz w:val="24"/>
          <w:szCs w:val="24"/>
        </w:rPr>
        <w:t xml:space="preserve">от </w:t>
      </w:r>
      <w:r w:rsidR="00E35A0B" w:rsidRPr="00D31F42">
        <w:rPr>
          <w:rFonts w:ascii="Times New Roman" w:hAnsi="Times New Roman" w:cs="Times New Roman"/>
          <w:sz w:val="24"/>
          <w:szCs w:val="24"/>
        </w:rPr>
        <w:t>21</w:t>
      </w:r>
      <w:r w:rsidRPr="00D31F42">
        <w:rPr>
          <w:rFonts w:ascii="Times New Roman" w:hAnsi="Times New Roman" w:cs="Times New Roman"/>
          <w:sz w:val="24"/>
          <w:szCs w:val="24"/>
        </w:rPr>
        <w:t xml:space="preserve">.06.2024 года </w:t>
      </w:r>
      <w:r w:rsidR="00D31F42" w:rsidRPr="00D31F42">
        <w:rPr>
          <w:rFonts w:ascii="Times New Roman" w:hAnsi="Times New Roman" w:cs="Times New Roman"/>
          <w:sz w:val="24"/>
          <w:szCs w:val="24"/>
        </w:rPr>
        <w:t xml:space="preserve"> </w:t>
      </w:r>
      <w:r w:rsidRPr="00D31F42">
        <w:rPr>
          <w:rFonts w:ascii="Times New Roman" w:hAnsi="Times New Roman" w:cs="Times New Roman"/>
          <w:sz w:val="24"/>
          <w:szCs w:val="24"/>
        </w:rPr>
        <w:t xml:space="preserve"> № 4</w:t>
      </w:r>
      <w:r w:rsidR="00E35A0B" w:rsidRPr="00D31F42">
        <w:rPr>
          <w:rFonts w:ascii="Times New Roman" w:hAnsi="Times New Roman" w:cs="Times New Roman"/>
          <w:sz w:val="24"/>
          <w:szCs w:val="24"/>
        </w:rPr>
        <w:t>5</w:t>
      </w:r>
    </w:p>
    <w:p w:rsidR="00830870" w:rsidRDefault="00830870" w:rsidP="006D0782">
      <w:pPr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с. </w:t>
      </w:r>
      <w:r w:rsidR="00644BD7">
        <w:rPr>
          <w:rFonts w:ascii="Times New Roman" w:hAnsi="Times New Roman" w:cs="Times New Roman"/>
          <w:sz w:val="24"/>
          <w:szCs w:val="24"/>
        </w:rPr>
        <w:t>Круглое</w:t>
      </w:r>
    </w:p>
    <w:p w:rsidR="00830870" w:rsidRPr="00D31F42" w:rsidRDefault="00830870" w:rsidP="006D0782">
      <w:pPr>
        <w:rPr>
          <w:rFonts w:ascii="Times New Roman" w:hAnsi="Times New Roman" w:cs="Times New Roman"/>
          <w:b/>
          <w:sz w:val="24"/>
          <w:szCs w:val="24"/>
        </w:rPr>
      </w:pPr>
      <w:r w:rsidRPr="00D31F42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D31F42">
        <w:rPr>
          <w:rFonts w:ascii="Times New Roman" w:hAnsi="Times New Roman" w:cs="Times New Roman"/>
          <w:b/>
          <w:sz w:val="24"/>
          <w:szCs w:val="24"/>
        </w:rPr>
        <w:t xml:space="preserve">Об утверждении Комплексного </w:t>
      </w:r>
      <w:r w:rsidRPr="00D31F42">
        <w:rPr>
          <w:rFonts w:ascii="Times New Roman" w:hAnsi="Times New Roman" w:cs="Times New Roman"/>
          <w:b/>
          <w:bCs/>
          <w:sz w:val="24"/>
          <w:szCs w:val="24"/>
        </w:rPr>
        <w:t xml:space="preserve">план развития систем коммунальной инфраструктуры </w:t>
      </w:r>
      <w:r w:rsidR="00086FD0" w:rsidRPr="00D31F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Круглянского</w:t>
      </w:r>
      <w:r w:rsidRPr="00D31F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 на 2024-2030 годы</w:t>
      </w:r>
      <w:r w:rsidRPr="00D31F42">
        <w:rPr>
          <w:rFonts w:ascii="Times New Roman" w:hAnsi="Times New Roman" w:cs="Times New Roman"/>
          <w:b/>
          <w:sz w:val="28"/>
          <w:szCs w:val="28"/>
        </w:rPr>
        <w:t>»</w:t>
      </w:r>
    </w:p>
    <w:p w:rsidR="00830870" w:rsidRDefault="00830870" w:rsidP="00830870">
      <w:pPr>
        <w:shd w:val="clear" w:color="auto" w:fill="FFFFFF"/>
        <w:jc w:val="both"/>
        <w:rPr>
          <w:sz w:val="28"/>
          <w:szCs w:val="28"/>
        </w:rPr>
      </w:pPr>
      <w:r w:rsidRPr="00542457">
        <w:rPr>
          <w:sz w:val="28"/>
          <w:szCs w:val="28"/>
        </w:rPr>
        <w:t xml:space="preserve">          </w:t>
      </w:r>
    </w:p>
    <w:p w:rsidR="00830870" w:rsidRPr="00830870" w:rsidRDefault="00830870" w:rsidP="008308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086FD0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30870" w:rsidRPr="00921B8F" w:rsidRDefault="00830870" w:rsidP="00830870">
      <w:pPr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1. Утвердить Комплексный </w:t>
      </w:r>
      <w:r w:rsidRPr="00921B8F">
        <w:rPr>
          <w:rFonts w:ascii="Times New Roman" w:hAnsi="Times New Roman" w:cs="Times New Roman"/>
          <w:bCs/>
          <w:sz w:val="24"/>
          <w:szCs w:val="24"/>
        </w:rPr>
        <w:t xml:space="preserve">план развития систем коммунальной инфраструктуры </w:t>
      </w:r>
      <w:r w:rsidR="00086FD0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 на 2024-2030 годы</w:t>
      </w:r>
    </w:p>
    <w:p w:rsidR="00830870" w:rsidRPr="00921B8F" w:rsidRDefault="00E35A0B" w:rsidP="0083087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Настоящее постановление </w:t>
      </w:r>
      <w:r w:rsidR="00830870"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вступает в силу с момента обнародования. </w:t>
      </w:r>
    </w:p>
    <w:p w:rsidR="00830870" w:rsidRDefault="00830870" w:rsidP="0083087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6D0782" w:rsidRPr="00921B8F" w:rsidRDefault="006D0782" w:rsidP="0083087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30870" w:rsidRPr="00921B8F" w:rsidRDefault="00086FD0" w:rsidP="00830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830870" w:rsidRPr="00921B8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E35A0B">
        <w:rPr>
          <w:rFonts w:ascii="Times New Roman" w:hAnsi="Times New Roman" w:cs="Times New Roman"/>
          <w:sz w:val="24"/>
          <w:szCs w:val="24"/>
        </w:rPr>
        <w:t>Г.Н. Лихачев</w:t>
      </w: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92" w:type="dxa"/>
        <w:tblInd w:w="5637" w:type="dxa"/>
        <w:tblLook w:val="01E0" w:firstRow="1" w:lastRow="1" w:firstColumn="1" w:lastColumn="1" w:noHBand="0" w:noVBand="0"/>
      </w:tblPr>
      <w:tblGrid>
        <w:gridCol w:w="3892"/>
      </w:tblGrid>
      <w:tr w:rsidR="00830870" w:rsidRPr="00921B8F" w:rsidTr="00086FD0">
        <w:trPr>
          <w:trHeight w:val="1823"/>
        </w:trPr>
        <w:tc>
          <w:tcPr>
            <w:tcW w:w="3892" w:type="dxa"/>
            <w:shd w:val="clear" w:color="auto" w:fill="auto"/>
          </w:tcPr>
          <w:p w:rsidR="00830870" w:rsidRPr="00921B8F" w:rsidRDefault="00830870" w:rsidP="00DE36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830870" w:rsidRPr="00921B8F" w:rsidRDefault="00830870" w:rsidP="00DE36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086FD0">
              <w:rPr>
                <w:rFonts w:ascii="Times New Roman" w:hAnsi="Times New Roman" w:cs="Times New Roman"/>
                <w:sz w:val="24"/>
                <w:szCs w:val="24"/>
              </w:rPr>
              <w:t>Круглянског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о сельского поселения </w:t>
            </w:r>
          </w:p>
          <w:p w:rsidR="00830870" w:rsidRPr="00921B8F" w:rsidRDefault="00830870" w:rsidP="00086F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35A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6FD0">
              <w:rPr>
                <w:rFonts w:ascii="Times New Roman" w:hAnsi="Times New Roman" w:cs="Times New Roman"/>
                <w:sz w:val="24"/>
                <w:szCs w:val="24"/>
              </w:rPr>
              <w:t>.06.2024 года № 45</w:t>
            </w:r>
          </w:p>
        </w:tc>
      </w:tr>
    </w:tbl>
    <w:p w:rsidR="00830870" w:rsidRPr="00921B8F" w:rsidRDefault="00830870" w:rsidP="00830870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-966470</wp:posOffset>
                </wp:positionV>
                <wp:extent cx="2581275" cy="20859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2085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0870" w:rsidRPr="00E56AA9" w:rsidRDefault="00830870" w:rsidP="0083087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1.25pt;margin-top:-76.1pt;width:203.2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" filled="f" stroked="f">
                <v:path arrowok="t"/>
                <v:textbox>
                  <w:txbxContent>
                    <w:p w:rsidR="00830870" w:rsidRPr="00E56AA9" w:rsidRDefault="00830870" w:rsidP="0083087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0870" w:rsidRPr="00921B8F" w:rsidRDefault="00830870" w:rsidP="00830870">
      <w:pPr>
        <w:ind w:left="4956" w:firstLine="573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830870" w:rsidRPr="00921B8F" w:rsidRDefault="00830870" w:rsidP="00830870">
      <w:pPr>
        <w:ind w:left="4956" w:firstLine="573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ED3C46">
      <w:pPr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Комплексный план развития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B8F">
        <w:rPr>
          <w:rFonts w:ascii="Times New Roman" w:hAnsi="Times New Roman" w:cs="Times New Roman"/>
          <w:bCs/>
          <w:sz w:val="24"/>
          <w:szCs w:val="24"/>
        </w:rPr>
        <w:t>развития систем коммунальной инфраструктуры</w:t>
      </w:r>
    </w:p>
    <w:p w:rsidR="00830870" w:rsidRPr="00921B8F" w:rsidRDefault="00086FD0" w:rsidP="0083087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="00830870"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 на 2024-2030 годы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5C9" w:rsidRDefault="001F05C9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C46" w:rsidRDefault="00ED3C46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C46" w:rsidRDefault="00ED3C46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C46" w:rsidRDefault="00ED3C46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C46" w:rsidRDefault="00ED3C46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lastRenderedPageBreak/>
        <w:t>ПАСПОРТ КОМПЛЕКСНОГО ПЛАНА РАЗВИТИЯ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B8F">
        <w:rPr>
          <w:rFonts w:ascii="Times New Roman" w:hAnsi="Times New Roman" w:cs="Times New Roman"/>
          <w:bCs/>
          <w:sz w:val="24"/>
          <w:szCs w:val="24"/>
        </w:rPr>
        <w:t>систем коммунальной инфраструктуры</w:t>
      </w:r>
    </w:p>
    <w:p w:rsidR="00830870" w:rsidRPr="00921B8F" w:rsidRDefault="00086FD0" w:rsidP="0083087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="00830870"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 на 2024-2030 годы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70" w:rsidRPr="00921B8F" w:rsidRDefault="00830870" w:rsidP="00DE3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развития </w:t>
            </w:r>
            <w:proofErr w:type="spellStart"/>
            <w:r w:rsidRPr="00921B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Pr="0092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 коммунальной инфраструктуры </w:t>
            </w:r>
            <w:r w:rsidR="00086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Каширского муниципального района Воронежской области на 2024-2030 годы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086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Каширского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муниципального района Воронежской области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комплексного плана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Градостроительный кодекс Российской Федерации;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Федеральный закон от 06.10.2003 г. №131-ФЗ «Об общих принципах организации местного самоуправления в Российской Федерации;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Приказ Министерства регионального развити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 РФ от 01.10.2013 г. №359/СГ «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Методические рекомендации по разработке программ комплексного развития систем коммунальной инфраструктуры поселений, городских округов»;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Постановление Правительства РФ от 14.06.2013 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830870" w:rsidRPr="00921B8F" w:rsidRDefault="00996D78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Совета народных депутатов Круглянского сельского поселения Каширского муниципального района</w:t>
            </w:r>
            <w:r w:rsidR="00830870"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Воронежско</w:t>
            </w:r>
            <w:r w:rsidR="004C78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 области от 19.10.2011 г. №47</w:t>
            </w:r>
            <w:r w:rsidR="00830870"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«Об утверждении </w:t>
            </w:r>
            <w:r w:rsidR="004C78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генерального плана Круглянского сельского поселения Каширского муниципального района Воронежской области</w:t>
            </w:r>
            <w:r w:rsidR="00830870"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Генеральный план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качественное и надежное обеспечение коммунальными услугами потребителей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улучшение экологической ситуации в муниципальном образовании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доступности ресурса для потребителей 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повышение эффективности производства услуг </w:t>
            </w:r>
          </w:p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30870" w:rsidRPr="00921B8F" w:rsidTr="00DE36EC">
        <w:trPr>
          <w:trHeight w:val="8089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правовых, организационных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личных подсобных хозяйств;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условий для безопасного проживания населения на территории поселения.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содействие в обеспечении социальной поддержки слабозащищенным слоям населения: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взаимосвязанное по срокам и объемам финансирования перспективное планирование развития систем коммунальной инфраструктуры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разработка мероприятий по комплексной реконструкции и модернизации систем коммунальной инфраструктуры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уровня собираемости платежей на коммунальные </w:t>
            </w:r>
          </w:p>
          <w:p w:rsidR="00830870" w:rsidRPr="00921B8F" w:rsidRDefault="00830870" w:rsidP="00DE36E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Важнейшие целевые показатели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Система водоснабжения и водоотведения: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аварийность системы водоснабжения;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перебои в снабжении потребителей;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продолжительность поставки товаров и услуг;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потерь;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износ системы водоснабжения;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удельный вес сетей, нуждающихся в замене;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загрузки производственных мощностей;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обеспеченность потребления товаров и услуг приборами учета;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качества воды установленным требованиям;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удельное водопотребление;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потребителей в жилых домах, обеспеченных доступом к коммунальной инфраструктуре.</w:t>
            </w:r>
          </w:p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Утилизация твердых бытовых отходов: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запас вместимости площадок захоронения ТБО.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Сроки и этапы реализации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реализации программы: 2024-2030 гг.</w:t>
            </w:r>
          </w:p>
        </w:tc>
      </w:tr>
      <w:tr w:rsidR="00830870" w:rsidRPr="00921B8F" w:rsidTr="00E73477">
        <w:trPr>
          <w:trHeight w:val="140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Объемы и 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 источникам финансирования программных мероприятий относится местный бюджет и иные средства. Общий объем финансирования программных мероприятий за 2024-2030 гг. составляет </w:t>
            </w:r>
            <w:r w:rsidRPr="00996D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54 000 000 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Ожидаемые результаты реализации и эффективность мероприятий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надёжности функционирования систем коммунальной инфраструктуры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ликвидация аварийных и полностью изношенных объектов коммунального хозяйства.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качества предоставляемых коммунальных услуг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улучшение экологического состояния</w:t>
            </w:r>
          </w:p>
          <w:p w:rsidR="00830870" w:rsidRPr="00921B8F" w:rsidRDefault="00830870" w:rsidP="00DE36E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Контроль за исполнением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Осуществляется администрацией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Комплексный план развития систем коммунальной инфраструктуры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Общие сведения о муниципальном образовании</w:t>
      </w:r>
    </w:p>
    <w:p w:rsidR="00830870" w:rsidRPr="00921B8F" w:rsidRDefault="00830870" w:rsidP="00830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1.1.  </w:t>
      </w:r>
      <w:r w:rsidR="00086FD0">
        <w:rPr>
          <w:rFonts w:ascii="Times New Roman" w:hAnsi="Times New Roman" w:cs="Times New Roman"/>
          <w:sz w:val="24"/>
          <w:szCs w:val="24"/>
        </w:rPr>
        <w:t>Круглянское</w:t>
      </w:r>
      <w:r w:rsidRPr="00921B8F">
        <w:rPr>
          <w:rFonts w:ascii="Times New Roman" w:hAnsi="Times New Roman" w:cs="Times New Roman"/>
          <w:sz w:val="24"/>
          <w:szCs w:val="24"/>
        </w:rPr>
        <w:t xml:space="preserve"> сельское поселение входит в состав Каширского муниципального района Воро</w:t>
      </w:r>
      <w:r w:rsidR="00A72823">
        <w:rPr>
          <w:rFonts w:ascii="Times New Roman" w:hAnsi="Times New Roman" w:cs="Times New Roman"/>
          <w:sz w:val="24"/>
          <w:szCs w:val="24"/>
        </w:rPr>
        <w:t>нежской области</w:t>
      </w:r>
      <w:r w:rsidRPr="00921B8F">
        <w:rPr>
          <w:rFonts w:ascii="Times New Roman" w:hAnsi="Times New Roman" w:cs="Times New Roman"/>
          <w:sz w:val="24"/>
          <w:szCs w:val="24"/>
        </w:rPr>
        <w:t>. Админист</w:t>
      </w:r>
      <w:r w:rsidR="000A1293">
        <w:rPr>
          <w:rFonts w:ascii="Times New Roman" w:hAnsi="Times New Roman" w:cs="Times New Roman"/>
          <w:sz w:val="24"/>
          <w:szCs w:val="24"/>
        </w:rPr>
        <w:t xml:space="preserve">ративным центром </w:t>
      </w:r>
      <w:r w:rsidRPr="00921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7D8B">
        <w:rPr>
          <w:rFonts w:ascii="Times New Roman" w:hAnsi="Times New Roman" w:cs="Times New Roman"/>
          <w:sz w:val="24"/>
          <w:szCs w:val="24"/>
        </w:rPr>
        <w:t>двух населенных пунк</w:t>
      </w:r>
      <w:r w:rsidR="00306464">
        <w:rPr>
          <w:rFonts w:ascii="Times New Roman" w:hAnsi="Times New Roman" w:cs="Times New Roman"/>
          <w:sz w:val="24"/>
          <w:szCs w:val="24"/>
        </w:rPr>
        <w:t>тов</w:t>
      </w:r>
      <w:r w:rsidR="00D614E3">
        <w:rPr>
          <w:rFonts w:ascii="Times New Roman" w:hAnsi="Times New Roman" w:cs="Times New Roman"/>
          <w:sz w:val="24"/>
          <w:szCs w:val="24"/>
        </w:rPr>
        <w:t xml:space="preserve"> село Круглое и хутор Михайловка</w:t>
      </w:r>
      <w:r w:rsidR="00337C49">
        <w:rPr>
          <w:rFonts w:ascii="Times New Roman" w:hAnsi="Times New Roman" w:cs="Times New Roman"/>
          <w:sz w:val="24"/>
          <w:szCs w:val="24"/>
        </w:rPr>
        <w:t>,</w:t>
      </w:r>
      <w:r w:rsidR="00D614E3">
        <w:rPr>
          <w:rFonts w:ascii="Times New Roman" w:hAnsi="Times New Roman" w:cs="Times New Roman"/>
          <w:sz w:val="24"/>
          <w:szCs w:val="24"/>
        </w:rPr>
        <w:t xml:space="preserve"> является село</w:t>
      </w:r>
      <w:r w:rsidRPr="00921B8F">
        <w:rPr>
          <w:rFonts w:ascii="Times New Roman" w:hAnsi="Times New Roman" w:cs="Times New Roman"/>
          <w:sz w:val="24"/>
          <w:szCs w:val="24"/>
        </w:rPr>
        <w:t xml:space="preserve"> </w:t>
      </w:r>
      <w:r w:rsidR="00644BD7">
        <w:rPr>
          <w:rFonts w:ascii="Times New Roman" w:hAnsi="Times New Roman" w:cs="Times New Roman"/>
          <w:sz w:val="24"/>
          <w:szCs w:val="24"/>
        </w:rPr>
        <w:t>Круглое</w:t>
      </w:r>
      <w:r w:rsidR="00337C49">
        <w:rPr>
          <w:rFonts w:ascii="Times New Roman" w:hAnsi="Times New Roman" w:cs="Times New Roman"/>
          <w:sz w:val="24"/>
          <w:szCs w:val="24"/>
        </w:rPr>
        <w:t>,</w:t>
      </w:r>
      <w:r w:rsidR="00A72823">
        <w:rPr>
          <w:rFonts w:ascii="Times New Roman" w:hAnsi="Times New Roman" w:cs="Times New Roman"/>
          <w:sz w:val="24"/>
          <w:szCs w:val="24"/>
        </w:rPr>
        <w:t xml:space="preserve"> расположенное в</w:t>
      </w:r>
      <w:r w:rsidR="000A1293">
        <w:rPr>
          <w:rFonts w:ascii="Times New Roman" w:hAnsi="Times New Roman" w:cs="Times New Roman"/>
          <w:sz w:val="24"/>
          <w:szCs w:val="24"/>
        </w:rPr>
        <w:t xml:space="preserve"> юго-западной части Каширского муниципального района Воронежской области</w:t>
      </w:r>
      <w:r w:rsidRPr="00921B8F">
        <w:rPr>
          <w:rFonts w:ascii="Times New Roman" w:hAnsi="Times New Roman" w:cs="Times New Roman"/>
          <w:sz w:val="24"/>
          <w:szCs w:val="24"/>
        </w:rPr>
        <w:t>.</w:t>
      </w:r>
    </w:p>
    <w:p w:rsidR="00830870" w:rsidRPr="00921B8F" w:rsidRDefault="00547E00" w:rsidP="00830870">
      <w:pPr>
        <w:pStyle w:val="100"/>
        <w:spacing w:line="276" w:lineRule="auto"/>
      </w:pPr>
      <w:r>
        <w:t xml:space="preserve">Численность населения в Круглянском сельском </w:t>
      </w:r>
      <w:proofErr w:type="spellStart"/>
      <w:r>
        <w:t>поселениии</w:t>
      </w:r>
      <w:proofErr w:type="spellEnd"/>
      <w:r w:rsidR="00830870" w:rsidRPr="00921B8F">
        <w:t xml:space="preserve"> на 01.01.2024</w:t>
      </w:r>
      <w:r w:rsidR="00086FD0">
        <w:t xml:space="preserve"> </w:t>
      </w:r>
      <w:r w:rsidR="00830870" w:rsidRPr="00921B8F">
        <w:t xml:space="preserve">г. составляет </w:t>
      </w:r>
      <w:r w:rsidR="00AB06AE" w:rsidRPr="00AB06AE">
        <w:t>862</w:t>
      </w:r>
      <w:r w:rsidR="00830870" w:rsidRPr="00921B8F">
        <w:t xml:space="preserve"> человек. Муниципальную систему образования сельского поселения представляют 1 учреждение образования, общеобразовательная школа </w:t>
      </w:r>
      <w:r w:rsidR="000A1293" w:rsidRPr="000A1293">
        <w:rPr>
          <w:rFonts w:eastAsia="Calibri"/>
          <w:kern w:val="0"/>
          <w:lang w:eastAsia="en-US"/>
        </w:rPr>
        <w:t>114</w:t>
      </w:r>
      <w:r w:rsidR="00830870" w:rsidRPr="00921B8F">
        <w:t xml:space="preserve"> мест. Средняя численность работников общеобразовательной сферы составляет </w:t>
      </w:r>
      <w:r w:rsidR="000A1293" w:rsidRPr="000A1293">
        <w:t>11</w:t>
      </w:r>
      <w:r w:rsidR="00830870" w:rsidRPr="00921B8F">
        <w:t xml:space="preserve"> человека. </w:t>
      </w:r>
    </w:p>
    <w:p w:rsidR="000C623A" w:rsidRPr="000C623A" w:rsidRDefault="000C623A" w:rsidP="000C623A">
      <w:pPr>
        <w:pStyle w:val="1"/>
        <w:spacing w:before="0" w:after="6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C623A">
        <w:rPr>
          <w:rFonts w:ascii="Times New Roman" w:hAnsi="Times New Roman" w:cs="Times New Roman"/>
          <w:sz w:val="24"/>
          <w:szCs w:val="24"/>
        </w:rPr>
        <w:t xml:space="preserve">1- </w:t>
      </w:r>
      <w:r w:rsidRPr="000C623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Фельдшерско-акушерский пункт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.</w:t>
      </w:r>
    </w:p>
    <w:p w:rsidR="00E90E0E" w:rsidRPr="00E90E0E" w:rsidRDefault="00830870" w:rsidP="00F970E3">
      <w:pPr>
        <w:pStyle w:val="100"/>
        <w:spacing w:line="276" w:lineRule="auto"/>
        <w:rPr>
          <w:color w:val="000000"/>
        </w:rPr>
      </w:pPr>
      <w:r w:rsidRPr="00921B8F">
        <w:t xml:space="preserve"> </w:t>
      </w:r>
      <w:r w:rsidRPr="00921B8F">
        <w:rPr>
          <w:color w:val="000000"/>
        </w:rPr>
        <w:t xml:space="preserve">На территории поселения торговую деятельность </w:t>
      </w:r>
      <w:r w:rsidR="00057334">
        <w:rPr>
          <w:color w:val="000000"/>
        </w:rPr>
        <w:t>осуществляют 1 магазин</w:t>
      </w:r>
      <w:r w:rsidRPr="00921B8F">
        <w:rPr>
          <w:color w:val="000000"/>
        </w:rPr>
        <w:t>.</w:t>
      </w:r>
    </w:p>
    <w:p w:rsidR="00E90E0E" w:rsidRPr="00E90E0E" w:rsidRDefault="00E90E0E" w:rsidP="00E90E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E0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E90E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Электроснабжение</w:t>
      </w:r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Электроэнергией населения обеспечивает Каширская РЭС, электросети в границах Круглянского сельского поселения находятся в удовлетворительном состоянии. Электроэнергия населению подается </w:t>
      </w:r>
      <w:proofErr w:type="spellStart"/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бесперебоев</w:t>
      </w:r>
      <w:proofErr w:type="spellEnd"/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Протяженность фонарной линии 10,8 км, где установлено 6 щитов управления и учета. </w:t>
      </w:r>
    </w:p>
    <w:p w:rsidR="00830870" w:rsidRPr="00013EC9" w:rsidRDefault="00E90E0E" w:rsidP="00013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E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Содержание автомобильных дорог</w:t>
      </w:r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пользования в границах сельского поселения: Дорог с твердым покрытием имеется – 11,6 км. грунтовых дорог </w:t>
      </w:r>
      <w:smartTag w:uri="urn:schemas-microsoft-com:office:smarttags" w:element="metricconverter">
        <w:smartTagPr>
          <w:attr w:name="ProductID" w:val="-13,5 км"/>
        </w:smartTagPr>
        <w:r w:rsidRPr="00E90E0E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-13,5 км</w:t>
        </w:r>
      </w:smartTag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30870" w:rsidRPr="00921B8F" w:rsidRDefault="00830870" w:rsidP="00830870">
      <w:pPr>
        <w:pStyle w:val="0"/>
        <w:spacing w:line="276" w:lineRule="auto"/>
        <w:rPr>
          <w:lang w:eastAsia="ru-RU"/>
        </w:rPr>
      </w:pPr>
      <w:r w:rsidRPr="00921B8F">
        <w:t xml:space="preserve">1.2. </w:t>
      </w:r>
      <w:r w:rsidRPr="00921B8F">
        <w:rPr>
          <w:lang w:eastAsia="ru-RU"/>
        </w:rPr>
        <w:t>Физкультурно-массовые и спортивные сооружения на территории сельского поселения представлены спор</w:t>
      </w:r>
      <w:r w:rsidR="00843FBC">
        <w:rPr>
          <w:lang w:eastAsia="ru-RU"/>
        </w:rPr>
        <w:t>тивной площадкой</w:t>
      </w:r>
      <w:r w:rsidRPr="00921B8F">
        <w:rPr>
          <w:lang w:eastAsia="ru-RU"/>
        </w:rPr>
        <w:t xml:space="preserve"> при общеобразовательной школе.</w:t>
      </w:r>
    </w:p>
    <w:p w:rsidR="00830870" w:rsidRPr="00921B8F" w:rsidRDefault="00830870" w:rsidP="00830870">
      <w:pPr>
        <w:pStyle w:val="100"/>
        <w:spacing w:line="276" w:lineRule="auto"/>
        <w:rPr>
          <w:color w:val="000000"/>
        </w:rPr>
      </w:pPr>
    </w:p>
    <w:tbl>
      <w:tblPr>
        <w:tblW w:w="888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9"/>
        <w:gridCol w:w="1984"/>
        <w:gridCol w:w="3215"/>
      </w:tblGrid>
      <w:tr w:rsidR="00830870" w:rsidRPr="00921B8F" w:rsidTr="00DE36EC">
        <w:trPr>
          <w:cantSplit/>
        </w:trPr>
        <w:tc>
          <w:tcPr>
            <w:tcW w:w="817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69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объекта</w:t>
            </w:r>
          </w:p>
        </w:tc>
        <w:tc>
          <w:tcPr>
            <w:tcW w:w="1984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Площадь спортивного объекта</w:t>
            </w:r>
          </w:p>
        </w:tc>
        <w:tc>
          <w:tcPr>
            <w:tcW w:w="3215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Отдельно стоящее или входящее в состав комплексного сооружения</w:t>
            </w:r>
          </w:p>
        </w:tc>
      </w:tr>
      <w:tr w:rsidR="00830870" w:rsidRPr="00921B8F" w:rsidTr="00DE36EC">
        <w:trPr>
          <w:cantSplit/>
        </w:trPr>
        <w:tc>
          <w:tcPr>
            <w:tcW w:w="817" w:type="dxa"/>
            <w:vAlign w:val="center"/>
          </w:tcPr>
          <w:p w:rsidR="00830870" w:rsidRPr="00921B8F" w:rsidRDefault="00AB06AE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  <w:vAlign w:val="center"/>
          </w:tcPr>
          <w:p w:rsidR="00830870" w:rsidRPr="00921B8F" w:rsidRDefault="005E67DD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30870" w:rsidRPr="00921B8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15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Входящие в состав школы</w:t>
            </w:r>
          </w:p>
        </w:tc>
      </w:tr>
    </w:tbl>
    <w:p w:rsidR="00830870" w:rsidRPr="00921B8F" w:rsidRDefault="00830870" w:rsidP="008308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6"/>
        <w:gridCol w:w="3641"/>
        <w:gridCol w:w="1435"/>
        <w:gridCol w:w="971"/>
        <w:gridCol w:w="2030"/>
      </w:tblGrid>
      <w:tr w:rsidR="00830870" w:rsidRPr="00921B8F" w:rsidTr="00DE36EC">
        <w:tc>
          <w:tcPr>
            <w:tcW w:w="786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5" w:type="dxa"/>
            <w:vAlign w:val="center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един.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71" w:type="dxa"/>
            <w:vAlign w:val="center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0" w:type="dxa"/>
            <w:vAlign w:val="center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Год постройки/ капитального ремонта, износ здания %</w:t>
            </w:r>
          </w:p>
        </w:tc>
      </w:tr>
      <w:tr w:rsidR="00830870" w:rsidRPr="00921B8F" w:rsidTr="00DE36EC">
        <w:tc>
          <w:tcPr>
            <w:tcW w:w="786" w:type="dxa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830870" w:rsidRPr="005E67DD" w:rsidRDefault="000A1293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Круглянский КДЦ</w:t>
            </w:r>
          </w:p>
        </w:tc>
        <w:tc>
          <w:tcPr>
            <w:tcW w:w="1435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0" w:type="dxa"/>
            <w:vAlign w:val="center"/>
          </w:tcPr>
          <w:p w:rsidR="00830870" w:rsidRPr="00AB06AE" w:rsidRDefault="00D56649" w:rsidP="00DE3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5E67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30870" w:rsidRPr="00D566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30870" w:rsidRPr="00921B8F" w:rsidTr="00DE36EC">
        <w:tc>
          <w:tcPr>
            <w:tcW w:w="786" w:type="dxa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35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71" w:type="dxa"/>
            <w:vAlign w:val="center"/>
          </w:tcPr>
          <w:p w:rsidR="00830870" w:rsidRPr="00F970E3" w:rsidRDefault="00F970E3" w:rsidP="00DE3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0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8420</w:t>
            </w:r>
          </w:p>
        </w:tc>
        <w:tc>
          <w:tcPr>
            <w:tcW w:w="2030" w:type="dxa"/>
            <w:vAlign w:val="center"/>
          </w:tcPr>
          <w:p w:rsidR="00830870" w:rsidRPr="00AB06AE" w:rsidRDefault="00D56649" w:rsidP="00DE3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E67D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830870" w:rsidRPr="00D566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30870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F970E3" w:rsidRPr="00921B8F" w:rsidRDefault="00013EC9" w:rsidP="00F970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Водоснабжение н</w:t>
      </w:r>
      <w:r w:rsidR="00F970E3"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территории Круглянского сельского поселения обеспечением водой населения с.Круглое и х.</w:t>
      </w:r>
      <w:r w:rsidR="00F970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970E3"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Михайловка осуществляет некоммерческая организация ЖПК «Круглянский». Членами кооператива являются жители 450 домовладений. У 80% домовладений вода подведена в домах с местной канализацией. 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Скважины оборудованы насосами марки</w:t>
      </w:r>
      <w:r w:rsidR="00F970E3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ЭЦВ 10-140; производительность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скважин 10 м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US" w:bidi="en-US"/>
        </w:rPr>
        <w:t>3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/час каждая. Глубина скважин </w:t>
      </w:r>
      <w:r w:rsidR="00F970E3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от 65 до 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70м. Име</w:t>
      </w:r>
      <w:r w:rsidR="00F970E3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ю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тся башня типа Рожновского, объемом </w:t>
      </w:r>
      <w:smartTag w:uri="urn:schemas-microsoft-com:office:smarttags" w:element="metricconverter">
        <w:smartTagPr>
          <w:attr w:name="ProductID" w:val="25 м3"/>
        </w:smartTagPr>
        <w:r w:rsidR="00F970E3" w:rsidRPr="00921B8F">
          <w:rPr>
            <w:rFonts w:ascii="Times New Roman" w:hAnsi="Times New Roman" w:cs="Times New Roman"/>
            <w:color w:val="000000"/>
            <w:sz w:val="24"/>
            <w:szCs w:val="24"/>
            <w:lang w:eastAsia="en-US" w:bidi="en-US"/>
          </w:rPr>
          <w:t>25 м</w:t>
        </w:r>
        <w:r w:rsidR="00F970E3" w:rsidRPr="00921B8F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en-US" w:bidi="en-US"/>
          </w:rPr>
          <w:t>3</w:t>
        </w:r>
      </w:smartTag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 высотой 12м соответственно.  </w:t>
      </w:r>
      <w:r w:rsidR="00F970E3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воды по химическим и бактериологическим показателям соответствует нормам СанПиН 2.1.4.1074-01 "Питьевая вода". Техническое состояние скважин является удовлетворительным, износ оборудования составляет от </w:t>
      </w:r>
      <w:r w:rsidR="00F970E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F970E3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0%, следует провести ряд мероприятий по капитальному ремонту и реконструкции скважин.</w:t>
      </w:r>
    </w:p>
    <w:p w:rsidR="00F970E3" w:rsidRPr="00921B8F" w:rsidRDefault="00F970E3" w:rsidP="00F970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Зоны санитарной охраны большинства сельских водозаборов не выдержаны, и не обеспечены зоной санитарной охраны даже в пределах первого пояса.</w:t>
      </w:r>
    </w:p>
    <w:p w:rsidR="00830870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Зоны санитарной охраны большинства сельских водозаборов не выдержаны, и не обеспечены зоной санитарной охраны даже в пределах первого пояса.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В настоящее время на территории </w:t>
      </w:r>
      <w:r w:rsidR="00086FD0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Круглянского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сельского поселения действуют автономные сети хозяйственно-питьевого водопровода. Общая протяженность сетей составляет 26</w:t>
      </w:r>
      <w:r w:rsidR="00644BD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км. трассировка водоводов и разводящих сетей ниже глубины промерзания. В связи с тем, что сети находятся в ветхом, местами удовлетворительном состоянии.</w:t>
      </w:r>
    </w:p>
    <w:p w:rsidR="00830870" w:rsidRPr="00F970E3" w:rsidRDefault="00830870" w:rsidP="00F970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Процент жилого фонда, обеспеченного водопроводом составляет - 100%.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Сведения о суточной потребности воды питьевого качества по населенным пунктам района представлены в табл.</w:t>
      </w:r>
    </w:p>
    <w:p w:rsidR="00830870" w:rsidRPr="00921B8F" w:rsidRDefault="00830870" w:rsidP="00830870">
      <w:pPr>
        <w:pStyle w:val="0"/>
        <w:spacing w:line="276" w:lineRule="auto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507"/>
        <w:gridCol w:w="753"/>
        <w:gridCol w:w="1002"/>
        <w:gridCol w:w="851"/>
        <w:gridCol w:w="1002"/>
        <w:gridCol w:w="851"/>
        <w:gridCol w:w="1002"/>
        <w:gridCol w:w="814"/>
        <w:gridCol w:w="1090"/>
      </w:tblGrid>
      <w:tr w:rsidR="00830870" w:rsidRPr="00921B8F" w:rsidTr="00800E61">
        <w:tc>
          <w:tcPr>
            <w:tcW w:w="473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№ п/п</w:t>
            </w:r>
          </w:p>
        </w:tc>
        <w:tc>
          <w:tcPr>
            <w:tcW w:w="1507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Наименование поселений и </w:t>
            </w:r>
            <w:r w:rsidRPr="00921B8F">
              <w:lastRenderedPageBreak/>
              <w:t>населенных пунктов</w:t>
            </w:r>
          </w:p>
        </w:tc>
        <w:tc>
          <w:tcPr>
            <w:tcW w:w="1755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lastRenderedPageBreak/>
              <w:t xml:space="preserve">Количество жителей, </w:t>
            </w:r>
            <w:proofErr w:type="spellStart"/>
            <w:r w:rsidRPr="00921B8F">
              <w:t>тыс.чел</w:t>
            </w:r>
            <w:proofErr w:type="spellEnd"/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Удельная норма потребления, л/(</w:t>
            </w:r>
            <w:proofErr w:type="spellStart"/>
            <w:r w:rsidRPr="00921B8F">
              <w:t>сут</w:t>
            </w:r>
            <w:proofErr w:type="spellEnd"/>
            <w:r w:rsidRPr="00921B8F">
              <w:t>*чел)</w:t>
            </w:r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Среднесуточное водопотребление м</w:t>
            </w:r>
            <w:r w:rsidRPr="00921B8F">
              <w:rPr>
                <w:vertAlign w:val="superscript"/>
              </w:rPr>
              <w:t>3</w:t>
            </w:r>
            <w:r w:rsidRPr="00921B8F">
              <w:t>/</w:t>
            </w:r>
            <w:proofErr w:type="spellStart"/>
            <w:r w:rsidRPr="00921B8F">
              <w:t>сут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Противопожарное водоснабжение</w:t>
            </w:r>
          </w:p>
        </w:tc>
      </w:tr>
      <w:tr w:rsidR="00830870" w:rsidRPr="00921B8F" w:rsidTr="00800E61">
        <w:tc>
          <w:tcPr>
            <w:tcW w:w="473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753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  <w:r w:rsidRPr="00921B8F">
              <w:t xml:space="preserve"> 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814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Расход, л/с</w:t>
            </w:r>
          </w:p>
        </w:tc>
        <w:tc>
          <w:tcPr>
            <w:tcW w:w="1090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vertAlign w:val="superscript"/>
              </w:rPr>
            </w:pPr>
            <w:proofErr w:type="spellStart"/>
            <w:r w:rsidRPr="00921B8F">
              <w:t>Объекм</w:t>
            </w:r>
            <w:proofErr w:type="spellEnd"/>
            <w:r w:rsidRPr="00921B8F">
              <w:t xml:space="preserve"> против пожарного запаса воды, м</w:t>
            </w:r>
            <w:r w:rsidRPr="00921B8F">
              <w:rPr>
                <w:vertAlign w:val="superscript"/>
              </w:rPr>
              <w:t>3</w:t>
            </w:r>
          </w:p>
        </w:tc>
      </w:tr>
      <w:tr w:rsidR="00830870" w:rsidRPr="00921B8F" w:rsidTr="00800E61">
        <w:trPr>
          <w:trHeight w:val="483"/>
        </w:trPr>
        <w:tc>
          <w:tcPr>
            <w:tcW w:w="473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</w:pPr>
            <w:r w:rsidRPr="00921B8F">
              <w:lastRenderedPageBreak/>
              <w:t>11</w:t>
            </w:r>
          </w:p>
        </w:tc>
        <w:tc>
          <w:tcPr>
            <w:tcW w:w="1507" w:type="dxa"/>
          </w:tcPr>
          <w:p w:rsidR="00830870" w:rsidRPr="00921B8F" w:rsidRDefault="00800E61" w:rsidP="00DE36EC">
            <w:pPr>
              <w:pStyle w:val="0"/>
              <w:spacing w:line="276" w:lineRule="auto"/>
              <w:ind w:firstLine="0"/>
              <w:jc w:val="center"/>
            </w:pPr>
            <w:r>
              <w:t>Круглянское</w:t>
            </w:r>
            <w:r w:rsidR="00830870" w:rsidRPr="00921B8F">
              <w:t xml:space="preserve"> сельское поселение</w:t>
            </w:r>
          </w:p>
        </w:tc>
        <w:tc>
          <w:tcPr>
            <w:tcW w:w="753" w:type="dxa"/>
            <w:vAlign w:val="center"/>
          </w:tcPr>
          <w:p w:rsidR="00830870" w:rsidRPr="00AB06AE" w:rsidRDefault="00AB06AE" w:rsidP="00DE36EC">
            <w:pPr>
              <w:pStyle w:val="0"/>
              <w:spacing w:line="276" w:lineRule="auto"/>
              <w:ind w:firstLine="0"/>
              <w:jc w:val="center"/>
              <w:rPr>
                <w:color w:val="FF0000"/>
              </w:rPr>
            </w:pPr>
            <w:r w:rsidRPr="00AB06AE">
              <w:rPr>
                <w:rFonts w:eastAsia="Calibri"/>
                <w:color w:val="auto"/>
                <w:kern w:val="0"/>
                <w:lang w:eastAsia="en-US"/>
              </w:rPr>
              <w:t>0,862</w:t>
            </w:r>
          </w:p>
        </w:tc>
        <w:tc>
          <w:tcPr>
            <w:tcW w:w="1002" w:type="dxa"/>
            <w:vAlign w:val="center"/>
          </w:tcPr>
          <w:p w:rsidR="00830870" w:rsidRPr="00AB06AE" w:rsidRDefault="00AB06AE" w:rsidP="00DE36EC">
            <w:pPr>
              <w:pStyle w:val="0"/>
              <w:spacing w:line="276" w:lineRule="auto"/>
              <w:ind w:firstLine="0"/>
              <w:jc w:val="center"/>
              <w:rPr>
                <w:color w:val="FF0000"/>
              </w:rPr>
            </w:pPr>
            <w:r w:rsidRPr="00AB06AE">
              <w:rPr>
                <w:color w:val="auto"/>
              </w:rPr>
              <w:t>0,780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400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470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1025,6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1166,07</w:t>
            </w:r>
          </w:p>
        </w:tc>
        <w:tc>
          <w:tcPr>
            <w:tcW w:w="814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10</w:t>
            </w:r>
          </w:p>
        </w:tc>
        <w:tc>
          <w:tcPr>
            <w:tcW w:w="1090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108</w:t>
            </w:r>
          </w:p>
        </w:tc>
      </w:tr>
    </w:tbl>
    <w:p w:rsidR="00830870" w:rsidRPr="00921B8F" w:rsidRDefault="00830870" w:rsidP="00830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830870" w:rsidRPr="00921B8F" w:rsidRDefault="00830870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Характеристика систем коммунальной инфраструктуры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2.1. Расходы воды определены соответственно проектной численности населения на I очередь - 2018г. и Расчетный срок-2028г. 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Средние нормы водопотребления, приняты с учетом СНИП 2.04.02-84*, с учетом сложившегося в районе процентного распределения воды централизованного водоснабжения, в соответствии со степенью благоустройства и современного технического состояния значительно изношенных сетей и сооружений системы водоснабжения жилых и производственных зон района.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Удельное водопотребление в расчет на 1 человека на 1 очередь принято 400л/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, в </w:t>
      </w:r>
      <w:proofErr w:type="spellStart"/>
      <w:r w:rsidRPr="00921B8F">
        <w:rPr>
          <w:szCs w:val="24"/>
          <w:lang w:val="ru-RU"/>
        </w:rPr>
        <w:t>т.ч</w:t>
      </w:r>
      <w:proofErr w:type="spellEnd"/>
      <w:r w:rsidRPr="00921B8F">
        <w:rPr>
          <w:szCs w:val="24"/>
          <w:lang w:val="ru-RU"/>
        </w:rPr>
        <w:t>.: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- 200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хозяйственно-питьевые нужды населения,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- 70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полив улиц, газонов, зеленых насаждений,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соцкультбыта,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- 40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(20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местной промышленности 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сельского хозяйства, содержание и поение скота населением, и т.п.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неучтенные расходы.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Удельное водопотребление в расчет на 1 человека на расчетный срок принято 470л/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, в </w:t>
      </w:r>
      <w:proofErr w:type="spellStart"/>
      <w:r w:rsidRPr="00921B8F">
        <w:rPr>
          <w:szCs w:val="24"/>
          <w:lang w:val="ru-RU"/>
        </w:rPr>
        <w:t>т.ч</w:t>
      </w:r>
      <w:proofErr w:type="spellEnd"/>
      <w:r w:rsidRPr="00921B8F">
        <w:rPr>
          <w:szCs w:val="24"/>
          <w:lang w:val="ru-RU"/>
        </w:rPr>
        <w:t>.: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хозяйственно-питьевые нужды населения,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- 90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полив улиц, газонов, зеленых насаждений,</w:t>
      </w:r>
    </w:p>
    <w:p w:rsidR="00830870" w:rsidRPr="00921B8F" w:rsidRDefault="00800E61" w:rsidP="00830870">
      <w:pPr>
        <w:pStyle w:val="00"/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830870" w:rsidRPr="00921B8F">
        <w:rPr>
          <w:szCs w:val="24"/>
          <w:lang w:val="ru-RU"/>
        </w:rPr>
        <w:t>35 л/</w:t>
      </w:r>
      <w:proofErr w:type="spellStart"/>
      <w:r w:rsidR="00830870" w:rsidRPr="00921B8F">
        <w:rPr>
          <w:szCs w:val="24"/>
          <w:lang w:val="ru-RU"/>
        </w:rPr>
        <w:t>сут</w:t>
      </w:r>
      <w:proofErr w:type="spellEnd"/>
      <w:r w:rsidR="00830870" w:rsidRPr="00921B8F">
        <w:rPr>
          <w:szCs w:val="24"/>
          <w:lang w:val="ru-RU"/>
        </w:rPr>
        <w:t xml:space="preserve"> (15% - от </w:t>
      </w:r>
      <w:proofErr w:type="spellStart"/>
      <w:r w:rsidR="00830870" w:rsidRPr="00921B8F">
        <w:rPr>
          <w:szCs w:val="24"/>
          <w:lang w:val="ru-RU"/>
        </w:rPr>
        <w:t>хоз</w:t>
      </w:r>
      <w:proofErr w:type="spellEnd"/>
      <w:r w:rsidR="00830870" w:rsidRPr="00921B8F">
        <w:rPr>
          <w:szCs w:val="24"/>
          <w:lang w:val="ru-RU"/>
        </w:rPr>
        <w:t>-питьевого водопотребления) – расход воды на нужды соцкультбыта,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- 57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(25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местной промышленности 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- 35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сельского хозяйства, содержание и поение скота населением, и т.п.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- 23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(10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неучтенные расходы.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Расходы воды для нужд наружного пожаротушения села принимаются в соответствии со СНиП 2.04.02-84. 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В сельских населенных пунктах с населением до 1000 человек принят 1 пожар с расходом на наружное пожаротушение 5 л/с.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lastRenderedPageBreak/>
        <w:t xml:space="preserve">В сельских населенных пунктах с населением свыше 1000 человек принят 1 пожар с расходом на наружное пожаротушение 10 л/с. Расходы воды на внутреннее пожаротушение принят 5 л/с. 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Сведения о суточной потребности воды питьевого качества по населенным пунктам района представлены в табл.</w:t>
      </w:r>
    </w:p>
    <w:p w:rsidR="00830870" w:rsidRPr="00921B8F" w:rsidRDefault="00830870" w:rsidP="00830870">
      <w:pPr>
        <w:pStyle w:val="0"/>
        <w:spacing w:line="276" w:lineRule="auto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409"/>
        <w:gridCol w:w="851"/>
        <w:gridCol w:w="1002"/>
        <w:gridCol w:w="851"/>
        <w:gridCol w:w="1002"/>
        <w:gridCol w:w="851"/>
        <w:gridCol w:w="1002"/>
        <w:gridCol w:w="814"/>
        <w:gridCol w:w="1090"/>
      </w:tblGrid>
      <w:tr w:rsidR="00830870" w:rsidRPr="00921B8F" w:rsidTr="006A2D43">
        <w:tc>
          <w:tcPr>
            <w:tcW w:w="473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№ п/п</w:t>
            </w:r>
          </w:p>
        </w:tc>
        <w:tc>
          <w:tcPr>
            <w:tcW w:w="1409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Наименование поселений и населенных пунктов</w:t>
            </w:r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Количество жителей, </w:t>
            </w:r>
            <w:proofErr w:type="spellStart"/>
            <w:r w:rsidRPr="00921B8F">
              <w:t>тыс.чел</w:t>
            </w:r>
            <w:proofErr w:type="spellEnd"/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Удельная норма потребления, л/(</w:t>
            </w:r>
            <w:proofErr w:type="spellStart"/>
            <w:r w:rsidRPr="00921B8F">
              <w:t>сут</w:t>
            </w:r>
            <w:proofErr w:type="spellEnd"/>
            <w:r w:rsidRPr="00921B8F">
              <w:t>*чел)</w:t>
            </w:r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Среднесуточное водопотребление м</w:t>
            </w:r>
            <w:r w:rsidRPr="00921B8F">
              <w:rPr>
                <w:vertAlign w:val="superscript"/>
              </w:rPr>
              <w:t>3</w:t>
            </w:r>
            <w:r w:rsidRPr="00921B8F">
              <w:t>/</w:t>
            </w:r>
            <w:proofErr w:type="spellStart"/>
            <w:r w:rsidRPr="00921B8F">
              <w:t>сут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Противопожарное водоснабжение</w:t>
            </w:r>
          </w:p>
        </w:tc>
      </w:tr>
      <w:tr w:rsidR="00830870" w:rsidRPr="00921B8F" w:rsidTr="006A2D43">
        <w:tc>
          <w:tcPr>
            <w:tcW w:w="473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  <w:r w:rsidRPr="00921B8F">
              <w:t xml:space="preserve"> 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814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Расход, л/с</w:t>
            </w:r>
          </w:p>
        </w:tc>
        <w:tc>
          <w:tcPr>
            <w:tcW w:w="1090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vertAlign w:val="superscript"/>
              </w:rPr>
            </w:pPr>
            <w:proofErr w:type="spellStart"/>
            <w:r w:rsidRPr="00921B8F">
              <w:t>Объекм</w:t>
            </w:r>
            <w:proofErr w:type="spellEnd"/>
            <w:r w:rsidRPr="00921B8F">
              <w:t xml:space="preserve"> против пожарного запаса воды, м</w:t>
            </w:r>
            <w:r w:rsidRPr="00921B8F">
              <w:rPr>
                <w:vertAlign w:val="superscript"/>
              </w:rPr>
              <w:t>3</w:t>
            </w:r>
          </w:p>
        </w:tc>
      </w:tr>
      <w:tr w:rsidR="006A2D43" w:rsidRPr="00921B8F" w:rsidTr="006A2D43">
        <w:trPr>
          <w:trHeight w:val="483"/>
        </w:trPr>
        <w:tc>
          <w:tcPr>
            <w:tcW w:w="473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</w:pPr>
            <w:r w:rsidRPr="00921B8F">
              <w:t>11</w:t>
            </w:r>
          </w:p>
        </w:tc>
        <w:tc>
          <w:tcPr>
            <w:tcW w:w="1409" w:type="dxa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>
              <w:t>Круглянское</w:t>
            </w:r>
            <w:r w:rsidRPr="00921B8F">
              <w:t xml:space="preserve"> сельское поселение</w:t>
            </w:r>
          </w:p>
        </w:tc>
        <w:tc>
          <w:tcPr>
            <w:tcW w:w="851" w:type="dxa"/>
          </w:tcPr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02" w:type="dxa"/>
          </w:tcPr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851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400</w:t>
            </w:r>
          </w:p>
        </w:tc>
        <w:tc>
          <w:tcPr>
            <w:tcW w:w="1002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470</w:t>
            </w:r>
          </w:p>
        </w:tc>
        <w:tc>
          <w:tcPr>
            <w:tcW w:w="851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1025,6</w:t>
            </w:r>
          </w:p>
        </w:tc>
        <w:tc>
          <w:tcPr>
            <w:tcW w:w="1002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1166,07</w:t>
            </w:r>
          </w:p>
        </w:tc>
        <w:tc>
          <w:tcPr>
            <w:tcW w:w="814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10</w:t>
            </w:r>
          </w:p>
        </w:tc>
        <w:tc>
          <w:tcPr>
            <w:tcW w:w="1090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108</w:t>
            </w:r>
          </w:p>
        </w:tc>
      </w:tr>
    </w:tbl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2.2. Раздел «Теплоснабжение» выполнен на основании задания на проектирование архитектурно-планировочных решений проекта, технической информации, предоставленной заказчиком.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природном газе и угле. Сведения о существующих котельных сведены в таблицу №1.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Теплоносителем для систем отопления и горячего водоснабжения является сетевая вода с расчетными температурами-95-70</w:t>
      </w:r>
      <w:r w:rsidRPr="00921B8F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921B8F">
        <w:rPr>
          <w:rFonts w:ascii="Times New Roman" w:hAnsi="Times New Roman" w:cs="Times New Roman"/>
          <w:sz w:val="24"/>
          <w:szCs w:val="24"/>
        </w:rPr>
        <w:t>С.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Схема теплоснабжения тупиковая, двухтрубная.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Прокладка трубопроводов принята подземная в ж/б лотках. 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Потребность в тепле и обеспечение теплом промышленных предприятий в данном разделе не рассматриваются в связи с отсутствием данных.  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Теплоснабжение частного сектора - печное и от бытовых котлов, работающих на природном газе и угле.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692"/>
        <w:gridCol w:w="1853"/>
        <w:gridCol w:w="2192"/>
        <w:gridCol w:w="2118"/>
        <w:gridCol w:w="974"/>
      </w:tblGrid>
      <w:tr w:rsidR="00830870" w:rsidRPr="00921B8F" w:rsidTr="00DE36EC">
        <w:tc>
          <w:tcPr>
            <w:tcW w:w="1736" w:type="dxa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№ п/п</w:t>
            </w:r>
          </w:p>
        </w:tc>
        <w:tc>
          <w:tcPr>
            <w:tcW w:w="1737" w:type="dxa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Наименование котельной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Местоположение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Производительность котельной Гкал/ч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Присоединительная нагрузка Гкал/ч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Вид топлива</w:t>
            </w:r>
          </w:p>
        </w:tc>
      </w:tr>
      <w:tr w:rsidR="00830870" w:rsidRPr="00921B8F" w:rsidTr="00DE36EC">
        <w:tc>
          <w:tcPr>
            <w:tcW w:w="1736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1</w:t>
            </w:r>
          </w:p>
        </w:tc>
        <w:tc>
          <w:tcPr>
            <w:tcW w:w="1737" w:type="dxa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Существующая котельная</w:t>
            </w:r>
          </w:p>
        </w:tc>
        <w:tc>
          <w:tcPr>
            <w:tcW w:w="1737" w:type="dxa"/>
            <w:vAlign w:val="center"/>
          </w:tcPr>
          <w:p w:rsidR="00830870" w:rsidRPr="00921B8F" w:rsidRDefault="00F970E3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>
              <w:rPr>
                <w:rFonts w:eastAsia="Lucida Sans Unicode"/>
                <w:bCs/>
                <w:color w:val="auto"/>
                <w:lang w:eastAsia="ru-RU"/>
              </w:rPr>
              <w:t>с. Круглое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1,42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газ</w:t>
            </w:r>
          </w:p>
        </w:tc>
      </w:tr>
    </w:tbl>
    <w:p w:rsidR="00830870" w:rsidRPr="00921B8F" w:rsidRDefault="00830870" w:rsidP="00830870">
      <w:pPr>
        <w:pStyle w:val="0"/>
        <w:spacing w:line="276" w:lineRule="auto"/>
        <w:jc w:val="center"/>
        <w:rPr>
          <w:rFonts w:eastAsia="Lucida Sans Unicode"/>
          <w:bCs/>
          <w:color w:val="auto"/>
          <w:u w:val="single"/>
          <w:lang w:eastAsia="ru-RU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1B8F">
        <w:rPr>
          <w:rFonts w:ascii="Times New Roman" w:hAnsi="Times New Roman" w:cs="Times New Roman"/>
          <w:sz w:val="24"/>
          <w:szCs w:val="24"/>
          <w:u w:val="single"/>
        </w:rPr>
        <w:t>2.6.6.6. Газоснабжение</w:t>
      </w:r>
    </w:p>
    <w:p w:rsidR="00830870" w:rsidRPr="00921B8F" w:rsidRDefault="00830870" w:rsidP="008308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870" w:rsidRPr="00921B8F" w:rsidRDefault="00AB06AE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газоснабжение </w:t>
      </w:r>
      <w:r w:rsidR="00086FD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Круглянского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состоящего из с. </w:t>
      </w:r>
      <w:r w:rsidR="00644BD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Круглое</w:t>
      </w:r>
      <w:r w:rsidR="00AB2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х. Михайловка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осуществляется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природным газом.</w:t>
      </w:r>
    </w:p>
    <w:p w:rsidR="00830870" w:rsidRPr="00921B8F" w:rsidRDefault="00830870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Природный газ 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ое сельское поселение получает от газоп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ровода высокого давления Р≤1.2 МПа, проложенного от АГРС 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Нововоронеж. </w:t>
      </w:r>
    </w:p>
    <w:p w:rsidR="00830870" w:rsidRPr="00921B8F" w:rsidRDefault="00830870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газопровода высокого давления газ поступает на ГРП с. </w:t>
      </w:r>
      <w:r w:rsidR="00644BD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Круглое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0870" w:rsidRPr="00921B8F" w:rsidRDefault="00964921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газоснабжения Круглянского сельского поселения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газопроводами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высокого давления Р≤1,2 МПа от АГРС до ГРП, газопроводами среднего</w:t>
      </w:r>
      <w:r w:rsidR="00B47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давления Р≤ 0,3 МПа от ГРП до </w:t>
      </w:r>
      <w:proofErr w:type="gramStart"/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ШРП  и</w:t>
      </w:r>
      <w:proofErr w:type="gramEnd"/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котельной, газопроводами низкого давления Р≤ 0,003 МПа   от ШРП до потребителей жилых домов.</w:t>
      </w:r>
    </w:p>
    <w:p w:rsidR="00830870" w:rsidRPr="00921B8F" w:rsidRDefault="00AB2EF4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в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r w:rsidR="00644BD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Круглое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30870" w:rsidRPr="00921B8F" w:rsidRDefault="00830870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870" w:rsidRPr="00921B8F" w:rsidRDefault="00AB2EF4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котельная с ГРУ- 4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шт.</w:t>
      </w:r>
    </w:p>
    <w:p w:rsidR="00830870" w:rsidRPr="00921B8F" w:rsidRDefault="00830870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- ШРП -8 шт.</w:t>
      </w:r>
    </w:p>
    <w:p w:rsidR="00830870" w:rsidRPr="00921B8F" w:rsidRDefault="00830870" w:rsidP="00996D7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протяженность газопроводов </w:t>
      </w:r>
      <w:r w:rsidR="00996D7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 давления</w:t>
      </w:r>
      <w:r w:rsidR="00996D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2000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,0 м;</w:t>
      </w:r>
    </w:p>
    <w:p w:rsidR="00830870" w:rsidRPr="00921B8F" w:rsidRDefault="00996D78" w:rsidP="00830870">
      <w:pPr>
        <w:tabs>
          <w:tab w:val="left" w:pos="2745"/>
        </w:tabs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низкого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13000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,0 м.</w:t>
      </w:r>
    </w:p>
    <w:p w:rsidR="00830870" w:rsidRPr="00921B8F" w:rsidRDefault="00644BD7" w:rsidP="00830870">
      <w:pPr>
        <w:tabs>
          <w:tab w:val="left" w:pos="274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природного газа в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0E4C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Круглянском сельском поселении</w:t>
      </w:r>
      <w:r w:rsidR="00865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на нужды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отопления, </w:t>
      </w:r>
      <w:proofErr w:type="spellStart"/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>пищеприготовления</w:t>
      </w:r>
      <w:proofErr w:type="spellEnd"/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горячего водоснабжения жилого фонда.</w:t>
      </w:r>
    </w:p>
    <w:p w:rsidR="00830870" w:rsidRPr="00921B8F" w:rsidRDefault="00830870" w:rsidP="00830870">
      <w:pPr>
        <w:tabs>
          <w:tab w:val="left" w:pos="274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Охват населения газификацией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65F7D" w:rsidRPr="00865F7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65F7D">
        <w:rPr>
          <w:rFonts w:ascii="Times New Roman" w:eastAsia="Times New Roman" w:hAnsi="Times New Roman" w:cs="Times New Roman"/>
          <w:sz w:val="24"/>
          <w:szCs w:val="24"/>
          <w:lang w:eastAsia="ar-SA"/>
        </w:rPr>
        <w:t>0 %.</w:t>
      </w:r>
    </w:p>
    <w:p w:rsidR="00830870" w:rsidRPr="00921B8F" w:rsidRDefault="00830870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830870" w:rsidRPr="00921B8F" w:rsidRDefault="00830870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921B8F">
        <w:rPr>
          <w:rFonts w:ascii="Times New Roman" w:hAnsi="Times New Roman" w:cs="Times New Roman"/>
          <w:b/>
          <w:sz w:val="24"/>
          <w:szCs w:val="24"/>
        </w:rPr>
        <w:t>приоритизированного</w:t>
      </w:r>
      <w:proofErr w:type="spellEnd"/>
      <w:r w:rsidRPr="00921B8F">
        <w:rPr>
          <w:rFonts w:ascii="Times New Roman" w:hAnsi="Times New Roman" w:cs="Times New Roman"/>
          <w:b/>
          <w:sz w:val="24"/>
          <w:szCs w:val="24"/>
        </w:rPr>
        <w:t xml:space="preserve"> перечня объектов коммунальной инфраструктуры.</w:t>
      </w:r>
    </w:p>
    <w:p w:rsidR="00830870" w:rsidRDefault="00830870" w:rsidP="00830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Цель – определение первоочередных объектов, видов работ по принципу ранжирования на основании оценки значимости и эффективности капитальных вложений, выбора способа реализации (строительство, реконструкция, модернизация, капитальный ремонт)</w:t>
      </w:r>
    </w:p>
    <w:p w:rsidR="00830870" w:rsidRDefault="00830870" w:rsidP="00830870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в с. </w:t>
      </w:r>
      <w:r w:rsidR="00644BD7">
        <w:rPr>
          <w:rFonts w:ascii="Times New Roman" w:hAnsi="Times New Roman"/>
          <w:sz w:val="24"/>
          <w:szCs w:val="24"/>
        </w:rPr>
        <w:t>Круглое</w:t>
      </w:r>
      <w:r w:rsidR="008D28F8">
        <w:rPr>
          <w:rFonts w:ascii="Times New Roman" w:hAnsi="Times New Roman"/>
          <w:sz w:val="24"/>
          <w:szCs w:val="24"/>
        </w:rPr>
        <w:t xml:space="preserve"> по улицам: Сове</w:t>
      </w:r>
      <w:r w:rsidR="00FA0541">
        <w:rPr>
          <w:rFonts w:ascii="Times New Roman" w:hAnsi="Times New Roman"/>
          <w:sz w:val="24"/>
          <w:szCs w:val="24"/>
        </w:rPr>
        <w:t xml:space="preserve">тская от дома № 1 до дома №13 </w:t>
      </w:r>
      <w:r w:rsidR="008D28F8">
        <w:rPr>
          <w:rFonts w:ascii="Times New Roman" w:hAnsi="Times New Roman"/>
          <w:sz w:val="24"/>
          <w:szCs w:val="24"/>
        </w:rPr>
        <w:t>протяженностью 570 м.</w:t>
      </w:r>
    </w:p>
    <w:p w:rsidR="00830870" w:rsidRPr="002D1EA4" w:rsidRDefault="00830870" w:rsidP="00830870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Текущий ремонт наружных сетей водоснабжения</w:t>
      </w:r>
      <w:r w:rsidR="008D28F8" w:rsidRPr="008D28F8">
        <w:rPr>
          <w:rFonts w:ascii="Times New Roman" w:hAnsi="Times New Roman"/>
          <w:sz w:val="24"/>
          <w:szCs w:val="24"/>
        </w:rPr>
        <w:t xml:space="preserve"> </w:t>
      </w:r>
      <w:r w:rsidR="008D28F8">
        <w:rPr>
          <w:rFonts w:ascii="Times New Roman" w:hAnsi="Times New Roman"/>
          <w:sz w:val="24"/>
          <w:szCs w:val="24"/>
        </w:rPr>
        <w:t>в с. Круглое по ул. Проспект Революции о</w:t>
      </w:r>
      <w:r w:rsidR="00B40F1C">
        <w:rPr>
          <w:rFonts w:ascii="Times New Roman" w:hAnsi="Times New Roman"/>
          <w:sz w:val="24"/>
          <w:szCs w:val="24"/>
        </w:rPr>
        <w:t>т башни Рожновского до д. №11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з</w:t>
      </w:r>
      <w:r w:rsidRPr="002D1EA4">
        <w:rPr>
          <w:rFonts w:ascii="Times New Roman" w:hAnsi="Times New Roman"/>
          <w:sz w:val="24"/>
          <w:szCs w:val="24"/>
        </w:rPr>
        <w:t xml:space="preserve">амена </w:t>
      </w:r>
      <w:r w:rsidR="008D28F8">
        <w:rPr>
          <w:rFonts w:ascii="Times New Roman" w:hAnsi="Times New Roman"/>
          <w:sz w:val="24"/>
          <w:szCs w:val="24"/>
        </w:rPr>
        <w:t>протяженностью 460 м.</w:t>
      </w:r>
    </w:p>
    <w:p w:rsidR="00830870" w:rsidRPr="002D1EA4" w:rsidRDefault="00E35A0B" w:rsidP="00830870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башни Ро</w:t>
      </w:r>
      <w:r w:rsidR="008D28F8">
        <w:rPr>
          <w:rFonts w:ascii="Times New Roman" w:hAnsi="Times New Roman"/>
          <w:sz w:val="24"/>
          <w:szCs w:val="24"/>
        </w:rPr>
        <w:t>жновского по ул. Проспект Революции, для улучшения качества питьевого водоснабжения.</w:t>
      </w:r>
    </w:p>
    <w:p w:rsidR="00830870" w:rsidRDefault="008D28F8" w:rsidP="00830870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и строительство станции водоподготовки в с. Круглое.</w:t>
      </w:r>
    </w:p>
    <w:p w:rsidR="00830870" w:rsidRDefault="00830870" w:rsidP="00830870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ремо</w:t>
      </w:r>
      <w:r w:rsidR="008D28F8">
        <w:rPr>
          <w:rFonts w:ascii="Times New Roman" w:hAnsi="Times New Roman"/>
          <w:sz w:val="24"/>
          <w:szCs w:val="24"/>
        </w:rPr>
        <w:t>нт наружных сетей водоснабжения в х. Михайловка по ул. Песчаная протяженностью 500 м и перебуривание скважин в х. Михайловка.</w:t>
      </w:r>
    </w:p>
    <w:sectPr w:rsidR="00830870" w:rsidSect="00D31F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330C"/>
    <w:multiLevelType w:val="hybridMultilevel"/>
    <w:tmpl w:val="9586D5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05D67"/>
    <w:multiLevelType w:val="hybridMultilevel"/>
    <w:tmpl w:val="A4D60E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2FC2"/>
    <w:multiLevelType w:val="hybridMultilevel"/>
    <w:tmpl w:val="D258F540"/>
    <w:lvl w:ilvl="0" w:tplc="FFFFFFFF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A000FF7"/>
    <w:multiLevelType w:val="hybridMultilevel"/>
    <w:tmpl w:val="DDB0506C"/>
    <w:lvl w:ilvl="0" w:tplc="FFFFFFFF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E46A7"/>
    <w:multiLevelType w:val="hybridMultilevel"/>
    <w:tmpl w:val="73D88C6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A2E9D"/>
    <w:multiLevelType w:val="hybridMultilevel"/>
    <w:tmpl w:val="0896BA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CC"/>
    <w:rsid w:val="00013EC9"/>
    <w:rsid w:val="00057334"/>
    <w:rsid w:val="00081448"/>
    <w:rsid w:val="000838D8"/>
    <w:rsid w:val="00086FD0"/>
    <w:rsid w:val="000978CC"/>
    <w:rsid w:val="000A1293"/>
    <w:rsid w:val="000C623A"/>
    <w:rsid w:val="001A0E4C"/>
    <w:rsid w:val="001D51FD"/>
    <w:rsid w:val="001F05C9"/>
    <w:rsid w:val="00306464"/>
    <w:rsid w:val="00337C49"/>
    <w:rsid w:val="00366691"/>
    <w:rsid w:val="004C7818"/>
    <w:rsid w:val="004F115C"/>
    <w:rsid w:val="0052688D"/>
    <w:rsid w:val="00547E00"/>
    <w:rsid w:val="0056436E"/>
    <w:rsid w:val="005E67DD"/>
    <w:rsid w:val="00644BD7"/>
    <w:rsid w:val="00696C7A"/>
    <w:rsid w:val="006A2D43"/>
    <w:rsid w:val="006D0782"/>
    <w:rsid w:val="006D4433"/>
    <w:rsid w:val="00766961"/>
    <w:rsid w:val="00800E61"/>
    <w:rsid w:val="00830870"/>
    <w:rsid w:val="00843FBC"/>
    <w:rsid w:val="00865F7D"/>
    <w:rsid w:val="00890F61"/>
    <w:rsid w:val="008D28F8"/>
    <w:rsid w:val="00921B8F"/>
    <w:rsid w:val="00964921"/>
    <w:rsid w:val="00996D78"/>
    <w:rsid w:val="00A72823"/>
    <w:rsid w:val="00AB06AE"/>
    <w:rsid w:val="00AB2EF4"/>
    <w:rsid w:val="00B23AF1"/>
    <w:rsid w:val="00B361A0"/>
    <w:rsid w:val="00B40F1C"/>
    <w:rsid w:val="00B471C0"/>
    <w:rsid w:val="00BB791C"/>
    <w:rsid w:val="00C07D8B"/>
    <w:rsid w:val="00C21216"/>
    <w:rsid w:val="00D31F42"/>
    <w:rsid w:val="00D56649"/>
    <w:rsid w:val="00D614E3"/>
    <w:rsid w:val="00E35A0B"/>
    <w:rsid w:val="00E73477"/>
    <w:rsid w:val="00E90E0E"/>
    <w:rsid w:val="00ED3C46"/>
    <w:rsid w:val="00F858FB"/>
    <w:rsid w:val="00F970E3"/>
    <w:rsid w:val="00FA0541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CB2E11-C1E4-4C1A-9EA8-5BD1A2EC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E3"/>
  </w:style>
  <w:style w:type="paragraph" w:styleId="1">
    <w:name w:val="heading 1"/>
    <w:basedOn w:val="a"/>
    <w:next w:val="a"/>
    <w:link w:val="10"/>
    <w:uiPriority w:val="9"/>
    <w:qFormat/>
    <w:rsid w:val="000C6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 Основной текст 0"/>
    <w:aliases w:val="95 ПК,А. Основной текст 0,А. Основной текст 0 Знак Знак,1. Основной текст 0,А. Основной текст 0 Знак Знак Знак Знак,А. Основной текст 0 Знак Знак Знак Знак Знак Знак,Основной тек..."/>
    <w:basedOn w:val="a"/>
    <w:link w:val="10950"/>
    <w:rsid w:val="0056436E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"/>
    <w:link w:val="100"/>
    <w:rsid w:val="0056436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0">
    <w:name w:val="Основной текст 0"/>
    <w:basedOn w:val="a"/>
    <w:rsid w:val="00696C7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0">
    <w:name w:val="Основной 0"/>
    <w:aliases w:val="95ПК"/>
    <w:basedOn w:val="a"/>
    <w:link w:val="01"/>
    <w:qFormat/>
    <w:rsid w:val="00696C7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01">
    <w:name w:val="Основной 0 Знак"/>
    <w:aliases w:val="95ПК Знак"/>
    <w:link w:val="00"/>
    <w:rsid w:val="00696C7A"/>
    <w:rPr>
      <w:rFonts w:ascii="Times New Roman" w:eastAsia="Times New Roman" w:hAnsi="Times New Roman" w:cs="Times New Roman"/>
      <w:sz w:val="24"/>
      <w:lang w:val="en-US"/>
    </w:rPr>
  </w:style>
  <w:style w:type="paragraph" w:styleId="a3">
    <w:name w:val="Normal (Web)"/>
    <w:basedOn w:val="a"/>
    <w:rsid w:val="006D4433"/>
    <w:pPr>
      <w:spacing w:before="100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0F6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90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308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30870"/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F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5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6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Круглое </cp:lastModifiedBy>
  <cp:revision>16</cp:revision>
  <cp:lastPrinted>2024-06-26T07:17:00Z</cp:lastPrinted>
  <dcterms:created xsi:type="dcterms:W3CDTF">2024-06-25T06:15:00Z</dcterms:created>
  <dcterms:modified xsi:type="dcterms:W3CDTF">2024-06-26T07:20:00Z</dcterms:modified>
</cp:coreProperties>
</file>